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Pr>
        <w:drawing>
          <wp:anchor allowOverlap="1" behindDoc="0" distB="114300" distT="114300" distL="114300" distR="114300" hidden="0" layoutInCell="1" locked="0" relativeHeight="0" simplePos="0">
            <wp:simplePos x="0" y="0"/>
            <wp:positionH relativeFrom="page">
              <wp:posOffset>6019800</wp:posOffset>
            </wp:positionH>
            <wp:positionV relativeFrom="page">
              <wp:posOffset>142875</wp:posOffset>
            </wp:positionV>
            <wp:extent cx="1613207" cy="1443038"/>
            <wp:effectExtent b="0" l="0" r="0" t="0"/>
            <wp:wrapSquare wrapText="bothSides" distB="114300" distT="114300" distL="114300" distR="11430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1613207" cy="1443038"/>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pageBreakBefore w:val="0"/>
        <w:ind w:left="0" w:firstLine="0"/>
        <w:jc w:val="cente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sz w:val="24"/>
          <w:szCs w:val="24"/>
        </w:rPr>
        <w:drawing>
          <wp:anchor allowOverlap="1" behindDoc="0" distB="114300" distT="114300" distL="114300" distR="114300" hidden="0" layoutInCell="1" locked="0" relativeHeight="0" simplePos="0">
            <wp:simplePos x="0" y="0"/>
            <wp:positionH relativeFrom="page">
              <wp:posOffset>371475</wp:posOffset>
            </wp:positionH>
            <wp:positionV relativeFrom="page">
              <wp:posOffset>142875</wp:posOffset>
            </wp:positionV>
            <wp:extent cx="1419225" cy="1033463"/>
            <wp:effectExtent b="0" l="0" r="0" t="0"/>
            <wp:wrapTopAndBottom distB="114300" distT="114300"/>
            <wp:docPr id="1" name="image1.png"/>
            <a:graphic>
              <a:graphicData uri="http://schemas.openxmlformats.org/drawingml/2006/picture">
                <pic:pic>
                  <pic:nvPicPr>
                    <pic:cNvPr id="0" name="image1.png"/>
                    <pic:cNvPicPr preferRelativeResize="0"/>
                  </pic:nvPicPr>
                  <pic:blipFill>
                    <a:blip r:embed="rId7"/>
                    <a:srcRect b="28834" l="25806" r="26129" t="26993"/>
                    <a:stretch>
                      <a:fillRect/>
                    </a:stretch>
                  </pic:blipFill>
                  <pic:spPr>
                    <a:xfrm>
                      <a:off x="0" y="0"/>
                      <a:ext cx="1419225" cy="1033463"/>
                    </a:xfrm>
                    <a:prstGeom prst="rect"/>
                    <a:ln/>
                  </pic:spPr>
                </pic:pic>
              </a:graphicData>
            </a:graphic>
          </wp:anchor>
        </w:drawing>
      </w:r>
      <w:r w:rsidDel="00000000" w:rsidR="00000000" w:rsidRPr="00000000">
        <w:rPr>
          <w:rFonts w:ascii="Comic Sans MS" w:cs="Comic Sans MS" w:eastAsia="Comic Sans MS" w:hAnsi="Comic Sans MS"/>
          <w:b w:val="1"/>
          <w:sz w:val="28"/>
          <w:szCs w:val="28"/>
          <w:rtl w:val="0"/>
        </w:rPr>
        <w:t xml:space="preserve">Keep your math skills sharp with IXL!</w:t>
      </w:r>
    </w:p>
    <w:p w:rsidR="00000000" w:rsidDel="00000000" w:rsidP="00000000" w:rsidRDefault="00000000" w:rsidRPr="00000000" w14:paraId="00000003">
      <w:pPr>
        <w:pageBreakBefore w:val="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04">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Research shows that in order for skills to be permanently mastered, they must be continuously practiced. “If you don't use it, you lose it!” To help prevent the summertime “skill slump,” all middle school students are being asked to continue using their IXL Math accounts. This site (</w:t>
      </w:r>
      <w:hyperlink r:id="rId8">
        <w:r w:rsidDel="00000000" w:rsidR="00000000" w:rsidRPr="00000000">
          <w:rPr>
            <w:rFonts w:ascii="Comic Sans MS" w:cs="Comic Sans MS" w:eastAsia="Comic Sans MS" w:hAnsi="Comic Sans MS"/>
            <w:color w:val="954f72"/>
            <w:sz w:val="24"/>
            <w:szCs w:val="24"/>
            <w:u w:val="single"/>
            <w:rtl w:val="0"/>
          </w:rPr>
          <w:t xml:space="preserve">www.ixl.com</w:t>
        </w:r>
      </w:hyperlink>
      <w:r w:rsidDel="00000000" w:rsidR="00000000" w:rsidRPr="00000000">
        <w:rPr>
          <w:rFonts w:ascii="Comic Sans MS" w:cs="Comic Sans MS" w:eastAsia="Comic Sans MS" w:hAnsi="Comic Sans MS"/>
          <w:sz w:val="24"/>
          <w:szCs w:val="24"/>
          <w:rtl w:val="0"/>
        </w:rPr>
        <w:t xml:space="preserve">) allows students to have a tailored program that practices math skills with feedback and instructional guidelines. As part of your summer math practice, it is expected that you achieve 80% accuracy for each skill.  Mrs. Wiant will monitor your usage over the summer and check your completion at the start of school next year.</w:t>
      </w:r>
    </w:p>
    <w:p w:rsidR="00000000" w:rsidDel="00000000" w:rsidP="00000000" w:rsidRDefault="00000000" w:rsidRPr="00000000" w14:paraId="00000005">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 </w:t>
      </w:r>
    </w:p>
    <w:p w:rsidR="00000000" w:rsidDel="00000000" w:rsidP="00000000" w:rsidRDefault="00000000" w:rsidRPr="00000000" w14:paraId="00000006">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Our current middle-school students have been given their login information.  When you log in to IXL you will see a tab that says “skills suggested by your teacher,” this is where you will find the assignments listed below. IXL is a valuable tool that we provide to help students review and extend their math skills as they prepare for the next step in their middle school journey.</w:t>
      </w:r>
    </w:p>
    <w:p w:rsidR="00000000" w:rsidDel="00000000" w:rsidP="00000000" w:rsidRDefault="00000000" w:rsidRPr="00000000" w14:paraId="00000007">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 </w:t>
      </w:r>
    </w:p>
    <w:p w:rsidR="00000000" w:rsidDel="00000000" w:rsidP="00000000" w:rsidRDefault="00000000" w:rsidRPr="00000000" w14:paraId="00000008">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Students going into </w:t>
      </w:r>
      <w:r w:rsidDel="00000000" w:rsidR="00000000" w:rsidRPr="00000000">
        <w:rPr>
          <w:rFonts w:ascii="Comic Sans MS" w:cs="Comic Sans MS" w:eastAsia="Comic Sans MS" w:hAnsi="Comic Sans MS"/>
          <w:b w:val="1"/>
          <w:sz w:val="24"/>
          <w:szCs w:val="24"/>
          <w:rtl w:val="0"/>
        </w:rPr>
        <w:t xml:space="preserve">grade 6</w:t>
      </w:r>
      <w:r w:rsidDel="00000000" w:rsidR="00000000" w:rsidRPr="00000000">
        <w:rPr>
          <w:rFonts w:ascii="Comic Sans MS" w:cs="Comic Sans MS" w:eastAsia="Comic Sans MS" w:hAnsi="Comic Sans MS"/>
          <w:sz w:val="24"/>
          <w:szCs w:val="24"/>
          <w:rtl w:val="0"/>
        </w:rPr>
        <w:t xml:space="preserve"> should focus on the following sections….</w:t>
      </w:r>
    </w:p>
    <w:p w:rsidR="00000000" w:rsidDel="00000000" w:rsidP="00000000" w:rsidRDefault="00000000" w:rsidRPr="00000000" w14:paraId="00000009">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FIFTH GRADE math for review: Level G </w:t>
      </w:r>
    </w:p>
    <w:p w:rsidR="00000000" w:rsidDel="00000000" w:rsidP="00000000" w:rsidRDefault="00000000" w:rsidRPr="00000000" w14:paraId="0000000A">
      <w:pPr>
        <w:pageBreakBefore w:val="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0B">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A1 through A6   </w:t>
        <w:tab/>
        <w:t xml:space="preserve">   </w:t>
        <w:tab/>
        <w:t xml:space="preserve">G1 through G11            </w:t>
        <w:tab/>
        <w:tab/>
        <w:t xml:space="preserve">M1 through M10</w:t>
      </w:r>
    </w:p>
    <w:p w:rsidR="00000000" w:rsidDel="00000000" w:rsidP="00000000" w:rsidRDefault="00000000" w:rsidRPr="00000000" w14:paraId="0000000C">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B1 through B8    </w:t>
        <w:tab/>
        <w:t xml:space="preserve">   </w:t>
        <w:tab/>
        <w:t xml:space="preserve">H1 through H4   </w:t>
        <w:tab/>
        <w:t xml:space="preserve">          </w:t>
        <w:tab/>
        <w:t xml:space="preserve">            and M37, M38 </w:t>
        <w:tab/>
      </w:r>
    </w:p>
    <w:p w:rsidR="00000000" w:rsidDel="00000000" w:rsidP="00000000" w:rsidRDefault="00000000" w:rsidRPr="00000000" w14:paraId="0000000D">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C1 through C9     </w:t>
        <w:tab/>
        <w:t xml:space="preserve">    </w:t>
        <w:tab/>
        <w:t xml:space="preserve">I1 through I12              </w:t>
        <w:tab/>
        <w:t xml:space="preserve">          O1 through O3</w:t>
        <w:tab/>
      </w:r>
    </w:p>
    <w:p w:rsidR="00000000" w:rsidDel="00000000" w:rsidP="00000000" w:rsidRDefault="00000000" w:rsidRPr="00000000" w14:paraId="0000000E">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C13 through C16 </w:t>
        <w:tab/>
        <w:t xml:space="preserve">    </w:t>
        <w:tab/>
        <w:t xml:space="preserve">K1 through K11             </w:t>
        <w:tab/>
        <w:t xml:space="preserve">              </w:t>
        <w:tab/>
      </w:r>
    </w:p>
    <w:p w:rsidR="00000000" w:rsidDel="00000000" w:rsidP="00000000" w:rsidRDefault="00000000" w:rsidRPr="00000000" w14:paraId="0000000F">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D1 through D16   </w:t>
        <w:tab/>
        <w:t xml:space="preserve">    </w:t>
        <w:tab/>
        <w:t xml:space="preserve">L1 through L20</w:t>
        <w:tab/>
        <w:tab/>
        <w:tab/>
      </w:r>
    </w:p>
    <w:p w:rsidR="00000000" w:rsidDel="00000000" w:rsidP="00000000" w:rsidRDefault="00000000" w:rsidRPr="00000000" w14:paraId="00000010">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 </w:t>
      </w:r>
    </w:p>
    <w:p w:rsidR="00000000" w:rsidDel="00000000" w:rsidP="00000000" w:rsidRDefault="00000000" w:rsidRPr="00000000" w14:paraId="00000011">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 </w:t>
      </w:r>
    </w:p>
    <w:p w:rsidR="00000000" w:rsidDel="00000000" w:rsidP="00000000" w:rsidRDefault="00000000" w:rsidRPr="00000000" w14:paraId="00000012">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If you finish all of these sections, continue in the skill area or go to one of the skill areas not listed above</w:t>
      </w:r>
    </w:p>
    <w:p w:rsidR="00000000" w:rsidDel="00000000" w:rsidP="00000000" w:rsidRDefault="00000000" w:rsidRPr="00000000" w14:paraId="00000013">
      <w:pPr>
        <w:pageBreakBefore w:val="0"/>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4">
      <w:pPr>
        <w:pageBreakBefore w:val="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Pr>
        <w:drawing>
          <wp:anchor allowOverlap="1" behindDoc="0" distB="114300" distT="114300" distL="114300" distR="114300" hidden="0" layoutInCell="1" locked="0" relativeHeight="0" simplePos="0">
            <wp:simplePos x="0" y="0"/>
            <wp:positionH relativeFrom="page">
              <wp:posOffset>2914650</wp:posOffset>
            </wp:positionH>
            <wp:positionV relativeFrom="page">
              <wp:posOffset>8334375</wp:posOffset>
            </wp:positionV>
            <wp:extent cx="2048774" cy="1447800"/>
            <wp:effectExtent b="0" l="0" r="0" t="0"/>
            <wp:wrapSquare wrapText="bothSides" distB="114300" distT="114300" distL="114300" distR="114300"/>
            <wp:docPr id="3"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2048774" cy="1447800"/>
                    </a:xfrm>
                    <a:prstGeom prst="rect"/>
                    <a:ln/>
                  </pic:spPr>
                </pic:pic>
              </a:graphicData>
            </a:graphic>
          </wp:anchor>
        </w:drawing>
      </w:r>
      <w:r w:rsidDel="00000000" w:rsidR="00000000" w:rsidRPr="00000000">
        <w:rPr>
          <w:rtl w:val="0"/>
        </w:rPr>
      </w:r>
    </w:p>
    <w:p w:rsidR="00000000" w:rsidDel="00000000" w:rsidP="00000000" w:rsidRDefault="00000000" w:rsidRPr="00000000" w14:paraId="00000015">
      <w:pPr>
        <w:pageBreakBefore w:val="0"/>
        <w:rPr>
          <w:rFonts w:ascii="Comic Sans MS" w:cs="Comic Sans MS" w:eastAsia="Comic Sans MS" w:hAnsi="Comic Sans MS"/>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ic Sans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1.png"/><Relationship Id="rId8" Type="http://schemas.openxmlformats.org/officeDocument/2006/relationships/hyperlink" Target="http://www.ix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